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1E59EA">
        <w:trPr>
          <w:trHeight w:val="5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F177B5">
        <w:tc>
          <w:tcPr>
            <w:tcW w:w="10774" w:type="dxa"/>
            <w:shd w:val="clear" w:color="auto" w:fill="C4BC96"/>
          </w:tcPr>
          <w:p w:rsidR="00E0174B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  <w:p w:rsidR="00F177B5" w:rsidRDefault="00F177B5" w:rsidP="00F177B5">
            <w:pPr>
              <w:rPr>
                <w:rFonts w:asciiTheme="minorHAnsi" w:hAnsiTheme="minorHAnsi"/>
                <w:i/>
                <w:color w:val="FF0000"/>
              </w:rPr>
            </w:pPr>
            <w:r w:rsidRPr="00586DE3">
              <w:rPr>
                <w:rFonts w:ascii="Wingdings" w:hAnsi="Wingdings"/>
                <w:b/>
                <w:color w:val="FF0000"/>
                <w:sz w:val="36"/>
                <w:szCs w:val="36"/>
              </w:rPr>
              <w:t></w:t>
            </w:r>
            <w:r w:rsidRPr="00586DE3">
              <w:rPr>
                <w:rFonts w:ascii="Wingdings" w:hAnsi="Wingdings"/>
                <w:b/>
                <w:i/>
                <w:color w:val="FF0000"/>
              </w:rPr>
              <w:t></w:t>
            </w:r>
            <w:r>
              <w:rPr>
                <w:rFonts w:asciiTheme="minorHAnsi" w:hAnsiTheme="minorHAnsi"/>
                <w:b/>
                <w:i/>
                <w:color w:val="FF0000"/>
              </w:rPr>
              <w:t xml:space="preserve">! </w:t>
            </w:r>
            <w:r w:rsidRPr="001E59EA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Rezultaty i zrealizowane działania stanowią podstawę rozliczenia!</w:t>
            </w:r>
          </w:p>
          <w:p w:rsidR="00F177B5" w:rsidRPr="001E59EA" w:rsidRDefault="00F177B5" w:rsidP="00F177B5">
            <w:pPr>
              <w:rPr>
                <w:sz w:val="20"/>
                <w:szCs w:val="20"/>
              </w:rPr>
            </w:pPr>
            <w:r w:rsidRPr="001E59EA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Jeżeli samorząd ma wątpliwości</w:t>
            </w:r>
            <w:bookmarkStart w:id="0" w:name="_GoBack"/>
            <w:bookmarkEnd w:id="0"/>
            <w:r w:rsidRPr="001E59EA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dot. osiągniętych rezultatów - przeprowadza kontrolę. Należy pamiętać, że wszystkie dokumenty potwierdzające osiągnięte rezultaty, zrealizowane działania oraz poniesione wydatki, potwierdzane są na etapie kontroli. Oznacza to, że nie załącza się ich do sprawozdania.</w:t>
            </w:r>
            <w:r w:rsidRPr="001E59EA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br/>
            </w:r>
          </w:p>
        </w:tc>
      </w:tr>
    </w:tbl>
    <w:p w:rsidR="00C91371" w:rsidRPr="00AD11E4" w:rsidRDefault="00C91371">
      <w:pPr>
        <w:rPr>
          <w:rFonts w:asciiTheme="minorHAnsi" w:hAnsiTheme="minorHAnsi" w:cs="Calibri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3"/>
      </w:tblGrid>
      <w:tr w:rsidR="00C91371" w:rsidRPr="00AE24D0" w:rsidTr="00F177B5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AD11E4">
        <w:trPr>
          <w:trHeight w:val="8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177B5" w:rsidRDefault="00F177B5" w:rsidP="00AD11E4">
            <w:pPr>
              <w:ind w:left="14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 w:rsidRPr="00F177B5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Należy odnieść się do opisu rezultatów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 wskaz</w:t>
            </w:r>
            <w:r w:rsidR="00AD11E4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anych w ofercie. 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W związku z tym istotne jest, aby w ofercie wskazane były wskaźniki rezultatu, sposób ic</w:t>
            </w:r>
            <w:r w:rsidR="00AD11E4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h monitorowania, źródła informacji o osiągnięciu wskaźnika.</w:t>
            </w:r>
          </w:p>
          <w:p w:rsidR="00AD11E4" w:rsidRDefault="00AD11E4" w:rsidP="00AD11E4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5C258C" w:rsidRDefault="00AD11E4" w:rsidP="005C258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 w:rsidRPr="00AD11E4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lastRenderedPageBreak/>
              <w:t>Warto, aby na poziomie umowy/ogłoszenia do konkursu znalazł się zapis: „</w:t>
            </w:r>
            <w:r w:rsidRPr="001E59EA">
              <w:rPr>
                <w:rFonts w:asciiTheme="minorHAnsi" w:hAnsiTheme="minorHAnsi" w:cs="Calibri"/>
                <w:i/>
                <w:color w:val="FF0000"/>
                <w:sz w:val="22"/>
                <w:szCs w:val="22"/>
                <w:u w:val="single"/>
              </w:rPr>
              <w:t>nieosiągnięcie rezultatów może rodzić konsekwencję proporcjonalnego zwrotu środków</w:t>
            </w:r>
            <w:r w:rsidRPr="00AD11E4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”. Przy czym proporcjonalny zwrot środków każdorazowo powinna poprzedzić analiza. </w:t>
            </w:r>
          </w:p>
          <w:p w:rsidR="005C258C" w:rsidRDefault="00AD11E4" w:rsidP="005C258C">
            <w:pPr>
              <w:pStyle w:val="Akapitzlist"/>
              <w:numPr>
                <w:ilvl w:val="0"/>
                <w:numId w:val="15"/>
              </w:numPr>
              <w:ind w:firstLine="131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 w:rsidRPr="005C258C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czy nieosiągnięcie rezultatu jest z winy organizacji czy powodu z przyczyn obiektywnych</w:t>
            </w:r>
            <w:r w:rsidR="005C258C" w:rsidRPr="005C258C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?</w:t>
            </w:r>
          </w:p>
          <w:p w:rsidR="005C258C" w:rsidRDefault="00AD11E4" w:rsidP="005C258C">
            <w:pPr>
              <w:pStyle w:val="Akapitzlist"/>
              <w:numPr>
                <w:ilvl w:val="0"/>
                <w:numId w:val="15"/>
              </w:numPr>
              <w:ind w:firstLine="131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 w:rsidRPr="005C258C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czy nieosiągnięcie rezultatu wpływa na koszty jednostkowe? </w:t>
            </w:r>
            <w:r w:rsidR="005C258C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Jest to ważne w przypadku decyzji o proporcjonalnym obniżeniu kwoty</w:t>
            </w:r>
            <w:r w:rsidRPr="005C258C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 dotacji</w:t>
            </w:r>
            <w:r w:rsidR="005C258C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,</w:t>
            </w:r>
          </w:p>
          <w:p w:rsidR="00AD11E4" w:rsidRPr="005C258C" w:rsidRDefault="00AD11E4" w:rsidP="005C258C">
            <w:pPr>
              <w:pStyle w:val="Akapitzlist"/>
              <w:numPr>
                <w:ilvl w:val="0"/>
                <w:numId w:val="15"/>
              </w:numPr>
              <w:ind w:firstLine="131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 w:rsidRPr="005C258C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czy nieuzyskanie wskaźników rezultatu spowodowało nieosiągnięcie celu zadania? </w:t>
            </w: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3"/>
      </w:tblGrid>
      <w:tr w:rsidR="00E0174B" w:rsidRPr="00AE24D0" w:rsidTr="00F177B5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F177B5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F177B5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F177B5" w:rsidRPr="00F177B5" w:rsidRDefault="00E16080" w:rsidP="00F177B5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F177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F177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F177B5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F177B5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F177B5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F177B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7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887"/>
      </w:tblGrid>
      <w:tr w:rsidR="005C4954" w:rsidRPr="00AE24D0" w:rsidTr="00F177B5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F177B5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lastRenderedPageBreak/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A3" w:rsidRDefault="007A43A3">
      <w:r>
        <w:separator/>
      </w:r>
    </w:p>
  </w:endnote>
  <w:endnote w:type="continuationSeparator" w:id="0">
    <w:p w:rsidR="007A43A3" w:rsidRDefault="007A4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E4" w:rsidRPr="00E923BC" w:rsidRDefault="00687E6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AD11E4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26075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AD11E4" w:rsidRDefault="00AD11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A3" w:rsidRDefault="007A43A3">
      <w:r>
        <w:separator/>
      </w:r>
    </w:p>
  </w:footnote>
  <w:footnote w:type="continuationSeparator" w:id="0">
    <w:p w:rsidR="007A43A3" w:rsidRDefault="007A43A3">
      <w:r>
        <w:continuationSeparator/>
      </w:r>
    </w:p>
  </w:footnote>
  <w:footnote w:id="1">
    <w:p w:rsidR="00AD11E4" w:rsidRPr="00C013AD" w:rsidRDefault="00AD11E4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D11E4" w:rsidRPr="00D84A18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D11E4" w:rsidRPr="00D84A18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AD11E4" w:rsidRPr="00D84A18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AD11E4" w:rsidRPr="00D84A18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D11E4" w:rsidRPr="00D84A18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D11E4" w:rsidRPr="00D84A18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D11E4" w:rsidRPr="0074640D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AD11E4" w:rsidRPr="00C013AD" w:rsidRDefault="00AD11E4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A1368"/>
    <w:multiLevelType w:val="hybridMultilevel"/>
    <w:tmpl w:val="45CC1F7E"/>
    <w:lvl w:ilvl="0" w:tplc="27D8E282">
      <w:start w:val="1"/>
      <w:numFmt w:val="bullet"/>
      <w:lvlText w:val="–"/>
      <w:lvlJc w:val="left"/>
      <w:pPr>
        <w:ind w:left="862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735E6"/>
    <w:multiLevelType w:val="hybridMultilevel"/>
    <w:tmpl w:val="E7508F8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59EA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075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33A5"/>
    <w:rsid w:val="005960C4"/>
    <w:rsid w:val="005A7FAF"/>
    <w:rsid w:val="005C0864"/>
    <w:rsid w:val="005C258C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87E66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0952"/>
    <w:rsid w:val="006D19E4"/>
    <w:rsid w:val="006D23AD"/>
    <w:rsid w:val="006D51B9"/>
    <w:rsid w:val="006D7867"/>
    <w:rsid w:val="006E090C"/>
    <w:rsid w:val="006E0BD5"/>
    <w:rsid w:val="006E274E"/>
    <w:rsid w:val="006E4DFC"/>
    <w:rsid w:val="006E544A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3A3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367C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B770C"/>
    <w:rsid w:val="00AC2BFA"/>
    <w:rsid w:val="00AD11E4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1D9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177B5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E41D-57F9-4A8D-96EB-66E35C31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Karolina</cp:lastModifiedBy>
  <cp:revision>4</cp:revision>
  <cp:lastPrinted>2018-10-09T16:18:00Z</cp:lastPrinted>
  <dcterms:created xsi:type="dcterms:W3CDTF">2019-03-18T18:51:00Z</dcterms:created>
  <dcterms:modified xsi:type="dcterms:W3CDTF">2019-03-24T06:36:00Z</dcterms:modified>
</cp:coreProperties>
</file>